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8D375A" w:rsidRDefault="008D375A" w:rsidP="00022301">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022301">
        <w:rPr>
          <w:rFonts w:ascii="Times New Roman" w:hAnsi="Times New Roman"/>
          <w:sz w:val="28"/>
          <w:szCs w:val="28"/>
        </w:rPr>
        <w:t xml:space="preserve"> 97/1.0-11</w:t>
      </w:r>
    </w:p>
    <w:p w:rsidR="005A0F0F" w:rsidRPr="009D32BD" w:rsidRDefault="008D375A" w:rsidP="00235158">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 xml:space="preserve">сфере </w:t>
      </w:r>
      <w:r w:rsidR="00235158">
        <w:rPr>
          <w:rFonts w:ascii="Times New Roman" w:hAnsi="Times New Roman"/>
          <w:sz w:val="28"/>
          <w:szCs w:val="28"/>
        </w:rPr>
        <w:t>предоставления</w:t>
      </w:r>
      <w:r w:rsidR="00235158" w:rsidRPr="00235158">
        <w:rPr>
          <w:rFonts w:ascii="Times New Roman" w:hAnsi="Times New Roman"/>
          <w:sz w:val="28"/>
          <w:szCs w:val="28"/>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 «Об общих принципах организации местного самоуправления в Российской Федерации»</w:t>
      </w:r>
    </w:p>
    <w:p w:rsidR="00235158" w:rsidRDefault="00235158"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6D624F">
        <w:rPr>
          <w:rFonts w:ascii="Times New Roman" w:hAnsi="Times New Roman"/>
          <w:color w:val="000000"/>
          <w:sz w:val="28"/>
          <w:szCs w:val="28"/>
        </w:rPr>
        <w:t xml:space="preserve">           </w:t>
      </w:r>
      <w:r w:rsidR="00022301">
        <w:rPr>
          <w:rFonts w:ascii="Times New Roman" w:hAnsi="Times New Roman"/>
          <w:color w:val="000000"/>
          <w:sz w:val="28"/>
          <w:szCs w:val="28"/>
        </w:rPr>
        <w:t xml:space="preserve">                 </w:t>
      </w:r>
      <w:bookmarkStart w:id="0" w:name="_GoBack"/>
      <w:bookmarkEnd w:id="0"/>
      <w:r w:rsidR="006D624F">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022301">
        <w:rPr>
          <w:rFonts w:ascii="Times New Roman" w:hAnsi="Times New Roman"/>
          <w:color w:val="000000"/>
          <w:sz w:val="28"/>
          <w:szCs w:val="28"/>
        </w:rPr>
        <w:t>01</w:t>
      </w:r>
      <w:r w:rsidRPr="00322564">
        <w:rPr>
          <w:rFonts w:ascii="Times New Roman" w:hAnsi="Times New Roman"/>
          <w:color w:val="000000"/>
          <w:spacing w:val="30"/>
          <w:sz w:val="28"/>
          <w:szCs w:val="28"/>
        </w:rPr>
        <w:t>"</w:t>
      </w:r>
      <w:r w:rsidR="00022301">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4B0879">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6D624F" w:rsidRDefault="006D624F" w:rsidP="00EF4F81">
      <w:pPr>
        <w:spacing w:line="240" w:lineRule="auto"/>
        <w:jc w:val="both"/>
        <w:rPr>
          <w:rFonts w:ascii="Times New Roman" w:hAnsi="Times New Roman"/>
          <w:sz w:val="28"/>
          <w:szCs w:val="28"/>
        </w:rPr>
      </w:pPr>
    </w:p>
    <w:p w:rsidR="006D624F" w:rsidRDefault="006D624F"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235158" w:rsidRPr="00235158">
        <w:rPr>
          <w:rFonts w:ascii="Times New Roman" w:hAnsi="Times New Roman"/>
          <w:color w:val="000000"/>
          <w:spacing w:val="-8"/>
          <w:sz w:val="28"/>
          <w:szCs w:val="28"/>
        </w:rPr>
        <w:t>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 «Об общих принципах организации местного самоуправления в Российской Федерации»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w:t>
      </w:r>
      <w:r w:rsidRPr="00007464">
        <w:rPr>
          <w:rFonts w:ascii="Times New Roman" w:hAnsi="Times New Roman"/>
          <w:color w:val="000000"/>
          <w:spacing w:val="-8"/>
          <w:sz w:val="28"/>
          <w:szCs w:val="28"/>
        </w:rPr>
        <w:lastRenderedPageBreak/>
        <w:t xml:space="preserve">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4B0879">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35158" w:rsidRDefault="00235158" w:rsidP="006D624F">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9B7ACA">
        <w:rPr>
          <w:rFonts w:ascii="Times New Roman" w:hAnsi="Times New Roman" w:cs="Times New Roman"/>
        </w:rPr>
        <w:t xml:space="preserve"> </w:t>
      </w:r>
      <w:r w:rsidR="00235158" w:rsidRPr="00235158">
        <w:rPr>
          <w:rFonts w:ascii="Times New Roman" w:hAnsi="Times New Roman" w:cs="Times New Roman"/>
        </w:rPr>
        <w:t>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 «Об общих принципах организации местного самоуправления в Российской Федерации»</w:t>
      </w:r>
      <w:r w:rsidR="00235158">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6D624F">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6D624F" w:rsidRDefault="006D624F"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22301"/>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3F63C8"/>
    <w:rsid w:val="00410451"/>
    <w:rsid w:val="004417D9"/>
    <w:rsid w:val="00441FFC"/>
    <w:rsid w:val="0044338E"/>
    <w:rsid w:val="00470F86"/>
    <w:rsid w:val="0047203E"/>
    <w:rsid w:val="00476C79"/>
    <w:rsid w:val="00495D7D"/>
    <w:rsid w:val="004B0879"/>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D0A10"/>
    <w:rsid w:val="006D624F"/>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4B4008-4625-43E2-BECD-4D8FCC1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2018-05-30T06:03:00Z</cp:lastPrinted>
  <dcterms:created xsi:type="dcterms:W3CDTF">2018-06-01T13:09:00Z</dcterms:created>
  <dcterms:modified xsi:type="dcterms:W3CDTF">2018-06-01T13:09:00Z</dcterms:modified>
</cp:coreProperties>
</file>